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48170" w14:textId="77777777" w:rsidR="00936696" w:rsidRDefault="00936696"/>
    <w:p w14:paraId="508E917E" w14:textId="77777777" w:rsidR="008D3DF2" w:rsidRDefault="008D3DF2"/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2620"/>
        <w:gridCol w:w="3718"/>
        <w:gridCol w:w="651"/>
        <w:gridCol w:w="706"/>
        <w:gridCol w:w="619"/>
        <w:gridCol w:w="683"/>
        <w:gridCol w:w="783"/>
      </w:tblGrid>
      <w:tr w:rsidR="008D3DF2" w:rsidRPr="00DB5CDA" w14:paraId="790B7B37" w14:textId="77777777" w:rsidTr="00232FC0">
        <w:trPr>
          <w:trHeight w:val="480"/>
          <w:jc w:val="center"/>
        </w:trPr>
        <w:tc>
          <w:tcPr>
            <w:tcW w:w="26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5BAD4548" w14:textId="77777777" w:rsidR="008D3DF2" w:rsidRPr="00DB5CDA" w:rsidRDefault="008D3DF2" w:rsidP="009B5451">
            <w:pPr>
              <w:pStyle w:val="Zhlav"/>
              <w:rPr>
                <w:rFonts w:ascii="Arial" w:hAnsi="Arial" w:cs="Arial"/>
                <w:b/>
              </w:rPr>
            </w:pPr>
          </w:p>
          <w:p w14:paraId="2147B12D" w14:textId="77777777" w:rsidR="008D3DF2" w:rsidRPr="00DB5CDA" w:rsidRDefault="008D3DF2" w:rsidP="009B5451">
            <w:pPr>
              <w:pStyle w:val="Zhlav"/>
              <w:rPr>
                <w:rFonts w:ascii="Arial" w:hAnsi="Arial" w:cs="Arial"/>
                <w:b/>
              </w:rPr>
            </w:pPr>
            <w:proofErr w:type="spellStart"/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  <w:proofErr w:type="spellEnd"/>
          </w:p>
          <w:p w14:paraId="5664D2E7" w14:textId="77777777" w:rsidR="008D3DF2" w:rsidRPr="00DB5CDA" w:rsidRDefault="008D3DF2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74FBD3A9" w14:textId="77777777" w:rsidR="008D3DF2" w:rsidRPr="00DB5CDA" w:rsidRDefault="008D3DF2" w:rsidP="009B5451">
            <w:pPr>
              <w:rPr>
                <w:rFonts w:ascii="Arial" w:hAnsi="Arial" w:cs="Arial"/>
                <w:b/>
              </w:rPr>
            </w:pPr>
          </w:p>
          <w:p w14:paraId="7BF4023C" w14:textId="77777777" w:rsidR="008D3DF2" w:rsidRPr="00DB5CDA" w:rsidRDefault="008D3DF2" w:rsidP="009B5451">
            <w:pPr>
              <w:rPr>
                <w:rFonts w:ascii="Arial" w:hAnsi="Arial" w:cs="Arial"/>
                <w:b/>
              </w:rPr>
            </w:pPr>
            <w:r w:rsidRPr="004C349F">
              <w:rPr>
                <w:rFonts w:ascii="Arial" w:hAnsi="Arial" w:cs="Arial"/>
                <w:b/>
              </w:rPr>
              <w:t xml:space="preserve">Fakultní nemocnice </w:t>
            </w:r>
            <w:r w:rsidRPr="00FD1F15">
              <w:rPr>
                <w:rFonts w:ascii="Arial" w:hAnsi="Arial" w:cs="Arial"/>
                <w:b/>
              </w:rPr>
              <w:t>u sv. Anny v Brně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5B06C423" w14:textId="705A1E00" w:rsidR="008D3DF2" w:rsidRPr="00DB5CDA" w:rsidRDefault="004C15F7" w:rsidP="009B54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9F54CC" w14:textId="246C7462" w:rsidR="008D3DF2" w:rsidRPr="00DB5CDA" w:rsidRDefault="004C15F7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84E708" w14:textId="30F27E84" w:rsidR="008D3DF2" w:rsidRPr="00DB5CDA" w:rsidRDefault="004C15F7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9FFE58" w14:textId="432EC140" w:rsidR="008D3DF2" w:rsidRPr="00DB5CDA" w:rsidRDefault="004C15F7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ED20AD" w14:textId="07F6B3A3" w:rsidR="008D3DF2" w:rsidRPr="00DB5CDA" w:rsidRDefault="004C15F7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8D3DF2" w:rsidRPr="00DB5CDA" w14:paraId="4378CDB8" w14:textId="77777777" w:rsidTr="00232FC0">
        <w:trPr>
          <w:trHeight w:val="402"/>
          <w:jc w:val="center"/>
        </w:trPr>
        <w:tc>
          <w:tcPr>
            <w:tcW w:w="26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4882DC2D" w14:textId="77777777" w:rsidR="008D3DF2" w:rsidRPr="00DB5CDA" w:rsidRDefault="008D3DF2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</w:tcPr>
          <w:p w14:paraId="5F45731A" w14:textId="77777777" w:rsidR="008D3DF2" w:rsidRPr="00DB5CDA" w:rsidRDefault="008D3DF2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/>
            <w:vAlign w:val="center"/>
          </w:tcPr>
          <w:p w14:paraId="065D9499" w14:textId="3D29B05C" w:rsidR="008D3DF2" w:rsidRPr="00DB5CDA" w:rsidRDefault="008D3DF2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1A777D" w14:textId="6FB99B88" w:rsidR="008D3DF2" w:rsidRPr="00DB5CDA" w:rsidRDefault="004C15F7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66E24F" w14:textId="1E563195" w:rsidR="008D3DF2" w:rsidRPr="00DB5CDA" w:rsidRDefault="004C15F7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04B9C2" w14:textId="6BB8F1E6" w:rsidR="008D3DF2" w:rsidRPr="00DB5CDA" w:rsidRDefault="004C15F7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56FEC6" w14:textId="3124FD6A" w:rsidR="008D3DF2" w:rsidRPr="00DB5CDA" w:rsidRDefault="004C15F7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A</w:t>
            </w:r>
          </w:p>
        </w:tc>
      </w:tr>
      <w:tr w:rsidR="0006032A" w:rsidRPr="00924E46" w14:paraId="5DA15B49" w14:textId="77777777" w:rsidTr="00232FC0">
        <w:trPr>
          <w:trHeight w:val="265"/>
          <w:jc w:val="center"/>
        </w:trPr>
        <w:tc>
          <w:tcPr>
            <w:tcW w:w="26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EB7F06" w14:textId="77777777" w:rsidR="0006032A" w:rsidRDefault="0006032A" w:rsidP="0006032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BECC56" w14:textId="5E084E1C" w:rsidR="0006032A" w:rsidRPr="00DB5CDA" w:rsidRDefault="0006032A" w:rsidP="0006032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 w:rsidR="004424EA">
              <w:rPr>
                <w:rFonts w:ascii="Arial" w:hAnsi="Arial" w:cs="Arial"/>
                <w:b/>
                <w:szCs w:val="22"/>
              </w:rPr>
              <w:t xml:space="preserve"> za moduly 1 až 5 je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</w:tc>
        <w:tc>
          <w:tcPr>
            <w:tcW w:w="716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1869D8" w14:textId="21B760E8" w:rsidR="0006032A" w:rsidRPr="00924E46" w:rsidRDefault="004C15F7" w:rsidP="0006032A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 w:rsidR="00127B67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- A</w:t>
            </w:r>
            <w:proofErr w:type="gramEnd"/>
          </w:p>
        </w:tc>
      </w:tr>
      <w:tr w:rsidR="0006032A" w:rsidRPr="00924E46" w14:paraId="7E4A50AA" w14:textId="77777777" w:rsidTr="00232FC0">
        <w:trPr>
          <w:trHeight w:val="265"/>
          <w:jc w:val="center"/>
        </w:trPr>
        <w:tc>
          <w:tcPr>
            <w:tcW w:w="26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3F9C6E" w14:textId="77777777" w:rsidR="0006032A" w:rsidRDefault="0006032A" w:rsidP="0006032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1610A7E" w14:textId="77777777" w:rsidR="0006032A" w:rsidRDefault="0006032A" w:rsidP="0006032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2DC5825" w14:textId="5EE7FD3D" w:rsidR="0006032A" w:rsidRDefault="0006032A" w:rsidP="0006032A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A</w:t>
            </w:r>
          </w:p>
          <w:p w14:paraId="1A2E4B27" w14:textId="77777777" w:rsidR="0006032A" w:rsidRDefault="0006032A" w:rsidP="0006032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237D4DE" w14:textId="3D24578D" w:rsidR="0006032A" w:rsidRPr="00DB5CDA" w:rsidRDefault="0006032A" w:rsidP="0006032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160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8A33DA" w14:textId="3334E5F4" w:rsidR="004424EA" w:rsidRDefault="008C008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VO realizuje </w:t>
            </w:r>
            <w:r w:rsidR="004424EA" w:rsidRPr="004424EA">
              <w:rPr>
                <w:rFonts w:ascii="Arial" w:hAnsi="Arial" w:cs="Arial"/>
                <w:szCs w:val="22"/>
              </w:rPr>
              <w:t>řad</w:t>
            </w:r>
            <w:r>
              <w:rPr>
                <w:rFonts w:ascii="Arial" w:hAnsi="Arial" w:cs="Arial"/>
                <w:szCs w:val="22"/>
              </w:rPr>
              <w:t>u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projektů smluvního </w:t>
            </w:r>
            <w:r>
              <w:rPr>
                <w:rFonts w:ascii="Arial" w:hAnsi="Arial" w:cs="Arial"/>
                <w:szCs w:val="22"/>
              </w:rPr>
              <w:t>výzkumu</w:t>
            </w:r>
            <w:r w:rsidR="004424EA" w:rsidRPr="004424EA">
              <w:rPr>
                <w:rFonts w:ascii="Arial" w:hAnsi="Arial" w:cs="Arial"/>
                <w:szCs w:val="22"/>
              </w:rPr>
              <w:t>. Tato forma výzkumu je unikátní v ČR mezi ostatními organizacemi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MZd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>. Celkem bylo vygenerováno 104 aplikovaných výsledků, z toho 2 české a 3 mezinárodní patenty, 8 ověřených technologií, 9 certifikovaných metodik, 10 prototypů a 10 užitných vzorů, 18 aplikací software a 44 funkčních vzor</w:t>
            </w:r>
            <w:r>
              <w:rPr>
                <w:rFonts w:ascii="Arial" w:hAnsi="Arial" w:cs="Arial"/>
                <w:szCs w:val="22"/>
              </w:rPr>
              <w:t>k</w:t>
            </w:r>
            <w:r w:rsidR="004424EA" w:rsidRPr="004424EA">
              <w:rPr>
                <w:rFonts w:ascii="Arial" w:hAnsi="Arial" w:cs="Arial"/>
                <w:szCs w:val="22"/>
              </w:rPr>
              <w:t>ů. Pro hodnocení ekonomického a společenského dopadu bylo vybráno 9 projektů (</w:t>
            </w:r>
            <w:r w:rsidR="004424EA" w:rsidRPr="004424EA">
              <w:rPr>
                <w:rFonts w:ascii="Arial" w:hAnsi="Arial" w:cs="Arial"/>
                <w:color w:val="000000"/>
                <w:szCs w:val="22"/>
              </w:rPr>
              <w:t xml:space="preserve">s partnery </w:t>
            </w:r>
            <w:r w:rsidR="0041230A">
              <w:rPr>
                <w:rFonts w:ascii="Arial" w:hAnsi="Arial" w:cs="Arial"/>
                <w:color w:val="000000"/>
                <w:szCs w:val="22"/>
              </w:rPr>
              <w:t xml:space="preserve">jako je </w:t>
            </w:r>
            <w:r w:rsidR="004424EA" w:rsidRPr="004424EA">
              <w:rPr>
                <w:rFonts w:ascii="Arial" w:hAnsi="Arial" w:cs="Arial"/>
                <w:color w:val="000000"/>
                <w:szCs w:val="22"/>
              </w:rPr>
              <w:t xml:space="preserve">např. </w:t>
            </w:r>
            <w:proofErr w:type="spellStart"/>
            <w:r w:rsidR="004424EA" w:rsidRPr="004424EA">
              <w:rPr>
                <w:rFonts w:ascii="Arial" w:hAnsi="Arial" w:cs="Arial"/>
                <w:color w:val="000000"/>
                <w:szCs w:val="22"/>
              </w:rPr>
              <w:t>Enantis</w:t>
            </w:r>
            <w:proofErr w:type="spellEnd"/>
            <w:r w:rsidR="004424EA" w:rsidRPr="004424EA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="004424EA" w:rsidRPr="004424EA">
              <w:rPr>
                <w:rFonts w:ascii="Arial" w:hAnsi="Arial" w:cs="Arial"/>
                <w:color w:val="000000"/>
                <w:szCs w:val="22"/>
              </w:rPr>
              <w:t>PrimeCell</w:t>
            </w:r>
            <w:proofErr w:type="spellEnd"/>
            <w:r w:rsidR="004424EA" w:rsidRPr="004424EA">
              <w:rPr>
                <w:rFonts w:ascii="Arial" w:hAnsi="Arial" w:cs="Arial"/>
                <w:color w:val="000000"/>
                <w:szCs w:val="22"/>
              </w:rPr>
              <w:t>)</w:t>
            </w:r>
            <w:r w:rsidR="004424EA" w:rsidRPr="004424EA">
              <w:rPr>
                <w:rFonts w:ascii="Arial" w:hAnsi="Arial" w:cs="Arial"/>
                <w:szCs w:val="22"/>
              </w:rPr>
              <w:t xml:space="preserve">, z toho 3 mezinárodní a 2 české patenty, 1 software a 2 publikace, dále </w:t>
            </w:r>
            <w:r w:rsidR="004424EA">
              <w:rPr>
                <w:rFonts w:ascii="Arial" w:hAnsi="Arial" w:cs="Arial"/>
                <w:szCs w:val="22"/>
              </w:rPr>
              <w:t xml:space="preserve">projekty </w:t>
            </w:r>
            <w:r w:rsidR="004424EA" w:rsidRPr="004424EA">
              <w:rPr>
                <w:rFonts w:ascii="Arial" w:hAnsi="Arial" w:cs="Arial"/>
                <w:szCs w:val="22"/>
              </w:rPr>
              <w:t>smluvní</w:t>
            </w:r>
            <w:r w:rsidR="004424EA">
              <w:rPr>
                <w:rFonts w:ascii="Arial" w:hAnsi="Arial" w:cs="Arial"/>
                <w:szCs w:val="22"/>
              </w:rPr>
              <w:t>ho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výzkum</w:t>
            </w:r>
            <w:r w:rsidR="004424EA">
              <w:rPr>
                <w:rFonts w:ascii="Arial" w:hAnsi="Arial" w:cs="Arial"/>
                <w:szCs w:val="22"/>
              </w:rPr>
              <w:t>u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(partneři jako </w:t>
            </w:r>
            <w:proofErr w:type="spellStart"/>
            <w:r w:rsidR="004424EA" w:rsidRPr="004424EA">
              <w:rPr>
                <w:rFonts w:ascii="Arial" w:hAnsi="Arial" w:cs="Arial"/>
                <w:color w:val="000000"/>
                <w:szCs w:val="22"/>
              </w:rPr>
              <w:t>Psychogenics</w:t>
            </w:r>
            <w:proofErr w:type="spellEnd"/>
            <w:r w:rsidR="004424EA" w:rsidRPr="004424E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proofErr w:type="gramStart"/>
            <w:r w:rsidR="004424EA" w:rsidRPr="004424EA">
              <w:rPr>
                <w:rFonts w:ascii="Arial" w:hAnsi="Arial" w:cs="Arial"/>
                <w:color w:val="000000"/>
                <w:szCs w:val="22"/>
              </w:rPr>
              <w:t>Inc</w:t>
            </w:r>
            <w:proofErr w:type="spellEnd"/>
            <w:r w:rsidR="004424EA" w:rsidRPr="004424EA">
              <w:rPr>
                <w:rFonts w:ascii="Arial" w:hAnsi="Arial" w:cs="Arial"/>
                <w:color w:val="000000"/>
                <w:szCs w:val="22"/>
              </w:rPr>
              <w:t>.,</w:t>
            </w:r>
            <w:proofErr w:type="spellStart"/>
            <w:r w:rsidR="004424EA" w:rsidRPr="004424EA">
              <w:rPr>
                <w:rFonts w:ascii="Arial" w:hAnsi="Arial" w:cs="Arial"/>
                <w:color w:val="000000"/>
                <w:szCs w:val="22"/>
              </w:rPr>
              <w:t>Boehringer</w:t>
            </w:r>
            <w:proofErr w:type="spellEnd"/>
            <w:proofErr w:type="gramEnd"/>
            <w:r w:rsidR="004424EA" w:rsidRPr="004424E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4424EA" w:rsidRPr="004424EA">
              <w:rPr>
                <w:rFonts w:ascii="Arial" w:hAnsi="Arial" w:cs="Arial"/>
                <w:color w:val="000000"/>
                <w:szCs w:val="22"/>
              </w:rPr>
              <w:t>Ingelheim</w:t>
            </w:r>
            <w:proofErr w:type="spellEnd"/>
            <w:r w:rsidR="004424EA" w:rsidRPr="004424EA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="004424EA" w:rsidRPr="004424EA">
              <w:rPr>
                <w:rFonts w:ascii="Arial" w:hAnsi="Arial" w:cs="Arial"/>
                <w:color w:val="000000"/>
                <w:szCs w:val="22"/>
              </w:rPr>
              <w:t>Cardion</w:t>
            </w:r>
            <w:proofErr w:type="spellEnd"/>
            <w:r w:rsidR="004424EA" w:rsidRPr="004424EA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="004424EA" w:rsidRPr="004424EA">
              <w:rPr>
                <w:rFonts w:ascii="Arial" w:hAnsi="Arial" w:cs="Arial"/>
                <w:color w:val="000000"/>
                <w:szCs w:val="22"/>
              </w:rPr>
              <w:t>Contipro</w:t>
            </w:r>
            <w:proofErr w:type="spellEnd"/>
            <w:r w:rsidR="004424EA" w:rsidRPr="004424EA">
              <w:rPr>
                <w:rFonts w:ascii="Arial" w:hAnsi="Arial" w:cs="Arial"/>
                <w:color w:val="000000"/>
                <w:szCs w:val="22"/>
              </w:rPr>
              <w:t>)</w:t>
            </w:r>
            <w:r w:rsidR="004424EA">
              <w:rPr>
                <w:rFonts w:ascii="Arial" w:hAnsi="Arial" w:cs="Arial"/>
                <w:color w:val="000000"/>
                <w:szCs w:val="22"/>
              </w:rPr>
              <w:t>.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4424EA" w:rsidRPr="004424EA">
              <w:rPr>
                <w:rFonts w:ascii="Arial" w:hAnsi="Arial" w:cs="Arial"/>
                <w:szCs w:val="22"/>
              </w:rPr>
              <w:t>Ultrahigh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4424EA" w:rsidRPr="004424EA">
              <w:rPr>
                <w:rFonts w:ascii="Arial" w:hAnsi="Arial" w:cs="Arial"/>
                <w:szCs w:val="22"/>
              </w:rPr>
              <w:t>frequency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 xml:space="preserve"> ECG technologie </w:t>
            </w:r>
            <w:r w:rsidRPr="004424EA">
              <w:rPr>
                <w:rFonts w:ascii="Arial" w:hAnsi="Arial" w:cs="Arial"/>
                <w:szCs w:val="22"/>
              </w:rPr>
              <w:t>ověřena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na 12 </w:t>
            </w:r>
            <w:r w:rsidRPr="004424EA">
              <w:rPr>
                <w:rFonts w:ascii="Arial" w:hAnsi="Arial" w:cs="Arial"/>
                <w:szCs w:val="22"/>
              </w:rPr>
              <w:t>klinických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</w:t>
            </w:r>
            <w:r w:rsidRPr="004424EA">
              <w:rPr>
                <w:rFonts w:ascii="Arial" w:hAnsi="Arial" w:cs="Arial"/>
                <w:szCs w:val="22"/>
              </w:rPr>
              <w:t>pracovištích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v </w:t>
            </w:r>
            <w:r w:rsidR="0004155F" w:rsidRPr="004424EA">
              <w:rPr>
                <w:rFonts w:ascii="Arial" w:hAnsi="Arial" w:cs="Arial"/>
                <w:szCs w:val="22"/>
              </w:rPr>
              <w:t>České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republice, Nizozemsku, </w:t>
            </w:r>
            <w:r w:rsidR="0004155F" w:rsidRPr="004424EA">
              <w:rPr>
                <w:rFonts w:ascii="Arial" w:hAnsi="Arial" w:cs="Arial"/>
                <w:szCs w:val="22"/>
              </w:rPr>
              <w:t>Maďarsku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a </w:t>
            </w:r>
            <w:r w:rsidR="0004155F" w:rsidRPr="004424EA">
              <w:rPr>
                <w:rFonts w:ascii="Arial" w:hAnsi="Arial" w:cs="Arial"/>
                <w:szCs w:val="22"/>
              </w:rPr>
              <w:t>Velké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</w:t>
            </w:r>
            <w:r w:rsidR="0004155F" w:rsidRPr="004424EA">
              <w:rPr>
                <w:rFonts w:ascii="Arial" w:hAnsi="Arial" w:cs="Arial"/>
                <w:szCs w:val="22"/>
              </w:rPr>
              <w:t>Británii</w:t>
            </w:r>
            <w:r w:rsidR="004424EA" w:rsidRPr="004424EA">
              <w:rPr>
                <w:rFonts w:ascii="Arial" w:hAnsi="Arial" w:cs="Arial"/>
                <w:szCs w:val="22"/>
              </w:rPr>
              <w:t xml:space="preserve">. Připravuje se komercializace. Pět pracovníků získalo významná ocenění, mj </w:t>
            </w:r>
            <w:proofErr w:type="spellStart"/>
            <w:r w:rsidR="004424EA" w:rsidRPr="004424EA">
              <w:rPr>
                <w:rFonts w:ascii="Arial" w:hAnsi="Arial" w:cs="Arial"/>
                <w:szCs w:val="22"/>
              </w:rPr>
              <w:t>Seal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4424EA" w:rsidRPr="004424EA">
              <w:rPr>
                <w:rFonts w:ascii="Arial" w:hAnsi="Arial" w:cs="Arial"/>
                <w:szCs w:val="22"/>
              </w:rPr>
              <w:t>of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 xml:space="preserve"> excelence od Evropské komise, cenu Neuron 2021, </w:t>
            </w:r>
            <w:proofErr w:type="spellStart"/>
            <w:r w:rsidR="004424EA" w:rsidRPr="004424EA">
              <w:rPr>
                <w:rFonts w:ascii="Arial" w:hAnsi="Arial" w:cs="Arial"/>
                <w:szCs w:val="22"/>
              </w:rPr>
              <w:t>Danubius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4424EA" w:rsidRPr="004424EA">
              <w:rPr>
                <w:rFonts w:ascii="Arial" w:hAnsi="Arial" w:cs="Arial"/>
                <w:szCs w:val="22"/>
              </w:rPr>
              <w:t>young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4424EA" w:rsidRPr="004424EA">
              <w:rPr>
                <w:rFonts w:ascii="Arial" w:hAnsi="Arial" w:cs="Arial"/>
                <w:szCs w:val="22"/>
              </w:rPr>
              <w:t>investigator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4424EA" w:rsidRPr="004424EA">
              <w:rPr>
                <w:rFonts w:ascii="Arial" w:hAnsi="Arial" w:cs="Arial"/>
                <w:szCs w:val="22"/>
              </w:rPr>
              <w:t>award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>, cen</w:t>
            </w:r>
            <w:r>
              <w:rPr>
                <w:rFonts w:ascii="Arial" w:hAnsi="Arial" w:cs="Arial"/>
                <w:szCs w:val="22"/>
              </w:rPr>
              <w:t>u</w:t>
            </w:r>
            <w:r w:rsidR="004424EA" w:rsidRPr="004424EA">
              <w:rPr>
                <w:rFonts w:ascii="Arial" w:hAnsi="Arial" w:cs="Arial"/>
                <w:szCs w:val="22"/>
              </w:rPr>
              <w:t xml:space="preserve"> společnosti </w:t>
            </w:r>
            <w:proofErr w:type="spellStart"/>
            <w:r w:rsidR="004424EA" w:rsidRPr="004424EA">
              <w:rPr>
                <w:rFonts w:ascii="Arial" w:hAnsi="Arial" w:cs="Arial"/>
                <w:szCs w:val="22"/>
              </w:rPr>
              <w:t>Veolia</w:t>
            </w:r>
            <w:proofErr w:type="spellEnd"/>
            <w:r w:rsidR="004424EA" w:rsidRPr="004424EA">
              <w:rPr>
                <w:rFonts w:ascii="Arial" w:hAnsi="Arial" w:cs="Arial"/>
                <w:szCs w:val="22"/>
              </w:rPr>
              <w:t xml:space="preserve"> a významné italské ocenění. Řada pracovníků je členem významných vědeckých organizací nebo se </w:t>
            </w:r>
            <w:r>
              <w:rPr>
                <w:rFonts w:ascii="Arial" w:hAnsi="Arial" w:cs="Arial"/>
                <w:szCs w:val="22"/>
              </w:rPr>
              <w:t>úč</w:t>
            </w:r>
            <w:r w:rsidR="004424EA" w:rsidRPr="004424EA">
              <w:rPr>
                <w:rFonts w:ascii="Arial" w:hAnsi="Arial" w:cs="Arial"/>
                <w:szCs w:val="22"/>
              </w:rPr>
              <w:t>astní činnosti hodnoticích panelů a komisí národních a mezinárodních grantových agentur. Společenský a ekonomický dopad výzkumu ve FNUSA je velmi významný, mezinárodně kompetitivní. Počet aplikovaných výsledků je nadprůměrně vysoký, výsledkem je řada patentů, ověřených technologií, funkčních vzorků, prototypů a aplikací software. Společenská relevance výsledků dané VO je hodnocena jako vynikající (A).</w:t>
            </w:r>
          </w:p>
          <w:p w14:paraId="2FA0F56A" w14:textId="27D4345F" w:rsidR="00331A45" w:rsidRPr="00331A45" w:rsidRDefault="00331A4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331A45">
              <w:rPr>
                <w:rFonts w:ascii="Arial" w:hAnsi="Arial" w:cs="Arial"/>
                <w:b/>
                <w:bCs/>
                <w:szCs w:val="22"/>
              </w:rPr>
              <w:t>PRUBĚŽNÉ HODNOCENÍ 2024</w:t>
            </w:r>
            <w:r w:rsidR="00127B67">
              <w:rPr>
                <w:rFonts w:ascii="Arial" w:hAnsi="Arial" w:cs="Arial"/>
                <w:b/>
                <w:bCs/>
                <w:szCs w:val="22"/>
              </w:rPr>
              <w:t xml:space="preserve"> za rok 2023</w:t>
            </w:r>
          </w:p>
          <w:p w14:paraId="295C83BD" w14:textId="2E4A4596" w:rsidR="0081610B" w:rsidRPr="0081610B" w:rsidRDefault="0081610B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szCs w:val="22"/>
              </w:rPr>
            </w:pPr>
            <w:r w:rsidRPr="0081610B">
              <w:rPr>
                <w:rFonts w:ascii="Arial" w:hAnsi="Arial" w:cs="Arial"/>
                <w:szCs w:val="22"/>
              </w:rPr>
              <w:t xml:space="preserve">Instituce realizovala zejména granty AZV, GA CR, TACR a MSMT, dále projekt OP JAK Ekonomický a společenský dopad je deklarován projekty smluvního výzkumu, patenty software, užitnými vzory a publikacemi. </w:t>
            </w:r>
            <w:r>
              <w:rPr>
                <w:rFonts w:ascii="Arial" w:hAnsi="Arial" w:cs="Arial"/>
                <w:szCs w:val="22"/>
              </w:rPr>
              <w:t>I</w:t>
            </w:r>
            <w:r w:rsidRPr="0081610B">
              <w:rPr>
                <w:rFonts w:ascii="Arial" w:hAnsi="Arial" w:cs="Arial"/>
                <w:szCs w:val="22"/>
              </w:rPr>
              <w:t xml:space="preserve">nstituce má bohatou mezinárodní spolupráci v řadě oblastí medicínského výzkumu, </w:t>
            </w:r>
            <w:proofErr w:type="gramStart"/>
            <w:r w:rsidRPr="0081610B">
              <w:rPr>
                <w:rFonts w:ascii="Arial" w:hAnsi="Arial" w:cs="Arial"/>
                <w:szCs w:val="22"/>
              </w:rPr>
              <w:t>řeší</w:t>
            </w:r>
            <w:proofErr w:type="gramEnd"/>
            <w:r w:rsidRPr="0081610B">
              <w:rPr>
                <w:rFonts w:ascii="Arial" w:hAnsi="Arial" w:cs="Arial"/>
                <w:szCs w:val="22"/>
              </w:rPr>
              <w:t xml:space="preserve"> mezinárodní projekty.</w:t>
            </w:r>
          </w:p>
          <w:p w14:paraId="79CA5CF5" w14:textId="77777777" w:rsidR="0006032A" w:rsidRDefault="00331A4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szCs w:val="22"/>
              </w:rPr>
            </w:pPr>
            <w:r w:rsidRPr="00331A45">
              <w:rPr>
                <w:rFonts w:ascii="Arial" w:hAnsi="Arial" w:cs="Arial"/>
                <w:szCs w:val="22"/>
              </w:rPr>
              <w:t xml:space="preserve">Společenský a ekonomický dopad výzkumu ve FNUSA je na vynikající úrovni. </w:t>
            </w:r>
            <w:r w:rsidR="0081610B" w:rsidRPr="0081610B">
              <w:rPr>
                <w:rFonts w:ascii="Arial" w:hAnsi="Arial" w:cs="Arial"/>
                <w:szCs w:val="22"/>
              </w:rPr>
              <w:t xml:space="preserve">Faktem ovšem je, že řada významných autorit FNUSA je zároveň (i poměrně rozsáhle) zasmluvněna i v dalších </w:t>
            </w:r>
            <w:proofErr w:type="gramStart"/>
            <w:r w:rsidR="0081610B" w:rsidRPr="0081610B">
              <w:rPr>
                <w:rFonts w:ascii="Arial" w:hAnsi="Arial" w:cs="Arial"/>
                <w:szCs w:val="22"/>
              </w:rPr>
              <w:t>rezortních</w:t>
            </w:r>
            <w:proofErr w:type="gramEnd"/>
            <w:r w:rsidR="0081610B" w:rsidRPr="0081610B">
              <w:rPr>
                <w:rFonts w:ascii="Arial" w:hAnsi="Arial" w:cs="Arial"/>
                <w:szCs w:val="22"/>
              </w:rPr>
              <w:t xml:space="preserve"> VO a dalších institucích, což v některých případech může vést k duplicitnímu výkaznictví.</w:t>
            </w:r>
          </w:p>
          <w:p w14:paraId="02EDF7DB" w14:textId="08392542" w:rsidR="00273055" w:rsidRPr="00273055" w:rsidRDefault="0027305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273055">
              <w:rPr>
                <w:rFonts w:ascii="Arial" w:hAnsi="Arial" w:cs="Arial"/>
                <w:b/>
                <w:bCs/>
                <w:szCs w:val="22"/>
              </w:rPr>
              <w:t>Průběžné hodnocení odpovídá stavu v době škálování</w:t>
            </w:r>
          </w:p>
        </w:tc>
      </w:tr>
      <w:tr w:rsidR="0006032A" w14:paraId="47EAA942" w14:textId="77777777" w:rsidTr="00232FC0">
        <w:trPr>
          <w:trHeight w:val="265"/>
          <w:jc w:val="center"/>
        </w:trPr>
        <w:tc>
          <w:tcPr>
            <w:tcW w:w="26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297D03" w14:textId="4555FE06" w:rsidR="0006032A" w:rsidRDefault="0006032A" w:rsidP="0006032A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Viabilita</w:t>
            </w:r>
            <w:proofErr w:type="spellEnd"/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A</w:t>
            </w:r>
          </w:p>
          <w:p w14:paraId="70ADB70D" w14:textId="77777777" w:rsidR="0006032A" w:rsidRDefault="0006032A" w:rsidP="0006032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3545B31" w14:textId="77777777" w:rsidR="0006032A" w:rsidRDefault="0006032A" w:rsidP="0006032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EBC5D04" w14:textId="77777777" w:rsidR="0006032A" w:rsidRPr="00DB5CDA" w:rsidRDefault="0006032A" w:rsidP="0006032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160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9B8AF3" w14:textId="2D1C7D8C" w:rsidR="0041230A" w:rsidRPr="009F1041" w:rsidRDefault="0041230A" w:rsidP="00127B67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Specifikem FNUSA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jako VO, že je jeho součástí také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Mezinárodni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́ centr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um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klinického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výzkumu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(ICRC). Pod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úsekem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ICRC fungují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také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administrativní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jednotky,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které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́ poskytují p</w:t>
            </w:r>
            <w:r w:rsidR="008C461F">
              <w:rPr>
                <w:rFonts w:ascii="Arial" w:hAnsi="Arial" w:cs="Arial"/>
                <w:color w:val="000000" w:themeColor="text1"/>
                <w:sz w:val="22"/>
                <w:szCs w:val="22"/>
              </w:rPr>
              <w:t>ří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mou podporu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VaV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aI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specifických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agendách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 celou FNUSA. V </w:t>
            </w:r>
            <w:r w:rsidR="008C461F">
              <w:rPr>
                <w:rFonts w:ascii="Arial" w:hAnsi="Arial" w:cs="Arial"/>
                <w:color w:val="000000" w:themeColor="text1"/>
                <w:sz w:val="22"/>
                <w:szCs w:val="22"/>
              </w:rPr>
              <w:t>hodnoceném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období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2018 – 2022</w:t>
            </w:r>
            <w:proofErr w:type="gram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bylo ve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Fakultní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nemocnici u sv. Anny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realizováno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celkem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175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výzkumných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grantů, z toho 126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národních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grantů (AZV, GAČR, TAČR, NPU a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další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dotační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programy), 37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mezinárodních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grantů (H2020,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Bader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Interreg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EHP projekty a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další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 a 12 OP VVV projektů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financovaných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ze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strukturálních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grantů. Celkem je uvedeno 5 nekomerčních hodnocení, kde byla VO zadavatelem. V letech 2018-2022 bylo ve FNUSA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realizováno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293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komerčních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klinických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hodnocení s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celkovým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objemem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finančních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prostředku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̊ ve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výši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179 mil</w:t>
            </w:r>
            <w:r w:rsidR="008C461F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Kc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̌. V letech 2018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až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2022 bylo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investováno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</w:t>
            </w:r>
            <w:r w:rsidR="008C461F">
              <w:rPr>
                <w:rFonts w:ascii="Arial" w:hAnsi="Arial" w:cs="Arial"/>
                <w:color w:val="000000" w:themeColor="text1"/>
                <w:sz w:val="22"/>
                <w:szCs w:val="22"/>
              </w:rPr>
              <w:t>řibližně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66 mil.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Kc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̌ do obnovy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výzkumné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infrastruktur</w:t>
            </w:r>
            <w:r w:rsidR="008C461F">
              <w:rPr>
                <w:rFonts w:ascii="Arial" w:hAnsi="Arial" w:cs="Arial"/>
                <w:color w:val="000000" w:themeColor="text1"/>
                <w:sz w:val="22"/>
                <w:szCs w:val="22"/>
              </w:rPr>
              <w:t>y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. V 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hodnoceném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období dosáhlo čerpání na DKRVO 219 mil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 Kč,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přes 33 mil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Kč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bylo určeno na pořízení nebo údržbu infrastruktury, 31 mil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 Kč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na provozní náklady na výzkumnou činnost. Plných 75 % z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celkové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>
              <w:rPr>
                <w:rFonts w:ascii="Arial" w:hAnsi="Arial" w:cs="Arial"/>
                <w:color w:val="000000" w:themeColor="text1"/>
                <w:sz w:val="22"/>
                <w:szCs w:val="22"/>
              </w:rPr>
              <w:t>čá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stky na DKRVO bylo věnováno na podporu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vědecko-výzkumných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aktivit ICRC. Pro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rozdělení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prostředků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mezi</w:t>
            </w:r>
            <w:proofErr w:type="gram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výzkumné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týmy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byla v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rámci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ICRC v roce 2021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vypracována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nová metodika,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která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zohledňuje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výsledky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mezinárodního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hodnocení,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prováděné</w:t>
            </w:r>
            <w:r w:rsidR="008C461F">
              <w:rPr>
                <w:rFonts w:ascii="Arial" w:hAnsi="Arial" w:cs="Arial"/>
                <w:color w:val="000000" w:themeColor="text1"/>
                <w:sz w:val="22"/>
                <w:szCs w:val="22"/>
              </w:rPr>
              <w:t>ho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Mezinárodním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vědeckým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poradním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sborem,</w:t>
            </w:r>
            <w:r w:rsidR="008C46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kvalitu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publikačních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výsledků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jednotlivých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C461F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tymů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Příjmy </w:t>
            </w:r>
            <w:r w:rsidR="00387B8E">
              <w:rPr>
                <w:rFonts w:ascii="Arial" w:hAnsi="Arial" w:cs="Arial"/>
                <w:color w:val="000000" w:themeColor="text1"/>
                <w:sz w:val="22"/>
                <w:szCs w:val="22"/>
              </w:rPr>
              <w:t>získané na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DKRVO tvořily pouze 1/7 celkových </w:t>
            </w:r>
            <w:proofErr w:type="spellStart"/>
            <w:r w:rsidR="00387B8E">
              <w:rPr>
                <w:rFonts w:ascii="Arial" w:hAnsi="Arial" w:cs="Arial"/>
                <w:color w:val="000000" w:themeColor="text1"/>
                <w:sz w:val="22"/>
                <w:szCs w:val="22"/>
              </w:rPr>
              <w:t>příkmů</w:t>
            </w:r>
            <w:proofErr w:type="spellEnd"/>
            <w:r w:rsidR="00387B8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VO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na </w:t>
            </w:r>
            <w:r w:rsidR="00387B8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oblast </w:t>
            </w:r>
            <w:proofErr w:type="spellStart"/>
            <w:r w:rsidR="00387B8E">
              <w:rPr>
                <w:rFonts w:ascii="Arial" w:hAnsi="Arial" w:cs="Arial"/>
                <w:color w:val="000000" w:themeColor="text1"/>
                <w:sz w:val="22"/>
                <w:szCs w:val="22"/>
              </w:rPr>
              <w:t>VaVaI</w:t>
            </w:r>
            <w:proofErr w:type="spellEnd"/>
            <w:r w:rsidR="00387B8E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512E424D" w14:textId="194B9692" w:rsidR="0041230A" w:rsidRPr="009F1041" w:rsidRDefault="0041230A" w:rsidP="00127B67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FNUSA jako </w:t>
            </w:r>
            <w:r w:rsidR="00387B8E" w:rsidRPr="009F1041">
              <w:rPr>
                <w:rFonts w:ascii="Arial" w:hAnsi="Arial" w:cs="Arial"/>
                <w:color w:val="000000" w:themeColor="text1"/>
                <w:szCs w:val="22"/>
              </w:rPr>
              <w:t>výzkumná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organizace </w:t>
            </w:r>
            <w:r w:rsidR="00387B8E" w:rsidRPr="009F1041">
              <w:rPr>
                <w:rFonts w:ascii="Arial" w:hAnsi="Arial" w:cs="Arial"/>
                <w:color w:val="000000" w:themeColor="text1"/>
                <w:szCs w:val="22"/>
              </w:rPr>
              <w:t>prošla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z hlediska </w:t>
            </w:r>
            <w:r w:rsidR="00387B8E" w:rsidRPr="009F1041">
              <w:rPr>
                <w:rFonts w:ascii="Arial" w:hAnsi="Arial" w:cs="Arial"/>
                <w:color w:val="000000" w:themeColor="text1"/>
                <w:szCs w:val="22"/>
              </w:rPr>
              <w:t>personální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politiky v letech </w:t>
            </w:r>
            <w:proofErr w:type="gramStart"/>
            <w:r w:rsidRPr="009F1041">
              <w:rPr>
                <w:rFonts w:ascii="Arial" w:hAnsi="Arial" w:cs="Arial"/>
                <w:color w:val="000000" w:themeColor="text1"/>
                <w:szCs w:val="22"/>
              </w:rPr>
              <w:t>2018 - 2022</w:t>
            </w:r>
            <w:proofErr w:type="gramEnd"/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387B8E" w:rsidRPr="009F1041">
              <w:rPr>
                <w:rFonts w:ascii="Arial" w:hAnsi="Arial" w:cs="Arial"/>
                <w:color w:val="000000" w:themeColor="text1"/>
                <w:szCs w:val="22"/>
              </w:rPr>
              <w:t>velkým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387B8E" w:rsidRPr="009F1041">
              <w:rPr>
                <w:rFonts w:ascii="Arial" w:hAnsi="Arial" w:cs="Arial"/>
                <w:color w:val="000000" w:themeColor="text1"/>
                <w:szCs w:val="22"/>
              </w:rPr>
              <w:t>vývojem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. Koncem roku 2019 se FNUSA </w:t>
            </w:r>
            <w:r w:rsidR="00E10BE5" w:rsidRPr="009F1041">
              <w:rPr>
                <w:rFonts w:ascii="Arial" w:hAnsi="Arial" w:cs="Arial"/>
                <w:color w:val="000000" w:themeColor="text1"/>
                <w:szCs w:val="22"/>
              </w:rPr>
              <w:t>oficiálně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E10BE5" w:rsidRPr="009F1041">
              <w:rPr>
                <w:rFonts w:ascii="Arial" w:hAnsi="Arial" w:cs="Arial"/>
                <w:color w:val="000000" w:themeColor="text1"/>
                <w:szCs w:val="22"/>
              </w:rPr>
              <w:t>přihlásila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k </w:t>
            </w:r>
            <w:r w:rsidR="00E10BE5" w:rsidRPr="009F1041">
              <w:rPr>
                <w:rFonts w:ascii="Arial" w:hAnsi="Arial" w:cs="Arial"/>
                <w:color w:val="000000" w:themeColor="text1"/>
                <w:szCs w:val="22"/>
              </w:rPr>
              <w:t>principům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E10BE5" w:rsidRPr="009F1041">
              <w:rPr>
                <w:rFonts w:ascii="Arial" w:hAnsi="Arial" w:cs="Arial"/>
                <w:color w:val="000000" w:themeColor="text1"/>
                <w:szCs w:val="22"/>
              </w:rPr>
              <w:t>Evropské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charty pro </w:t>
            </w:r>
            <w:r w:rsidR="00E10BE5" w:rsidRPr="009F1041">
              <w:rPr>
                <w:rFonts w:ascii="Arial" w:hAnsi="Arial" w:cs="Arial"/>
                <w:color w:val="000000" w:themeColor="text1"/>
                <w:szCs w:val="22"/>
              </w:rPr>
              <w:t>výzkumné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E10BE5" w:rsidRPr="009F1041">
              <w:rPr>
                <w:rFonts w:ascii="Arial" w:hAnsi="Arial" w:cs="Arial"/>
                <w:color w:val="000000" w:themeColor="text1"/>
                <w:szCs w:val="22"/>
              </w:rPr>
              <w:t>pracovníky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a Kodexu </w:t>
            </w:r>
            <w:r w:rsidR="00E10BE5" w:rsidRPr="009F1041">
              <w:rPr>
                <w:rFonts w:ascii="Arial" w:hAnsi="Arial" w:cs="Arial"/>
                <w:color w:val="000000" w:themeColor="text1"/>
                <w:szCs w:val="22"/>
              </w:rPr>
              <w:t>chováni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́ pro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Cs w:val="22"/>
              </w:rPr>
              <w:t>přijímáni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́ </w:t>
            </w:r>
            <w:r w:rsidR="00E10BE5" w:rsidRPr="009F1041">
              <w:rPr>
                <w:rFonts w:ascii="Arial" w:hAnsi="Arial" w:cs="Arial"/>
                <w:color w:val="000000" w:themeColor="text1"/>
                <w:szCs w:val="22"/>
              </w:rPr>
              <w:t>výzkumných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E10BE5" w:rsidRPr="009F1041">
              <w:rPr>
                <w:rFonts w:ascii="Arial" w:hAnsi="Arial" w:cs="Arial"/>
                <w:color w:val="000000" w:themeColor="text1"/>
                <w:szCs w:val="22"/>
              </w:rPr>
              <w:t>pracovníků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>.  Počet výzkumných prac</w:t>
            </w:r>
            <w:r w:rsidR="00E10BE5">
              <w:rPr>
                <w:rFonts w:ascii="Arial" w:hAnsi="Arial" w:cs="Arial"/>
                <w:color w:val="000000" w:themeColor="text1"/>
                <w:szCs w:val="22"/>
              </w:rPr>
              <w:t>o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>vníků se za sledované období zvýšil</w:t>
            </w:r>
            <w:r w:rsidR="00E10BE5">
              <w:rPr>
                <w:rFonts w:ascii="Arial" w:hAnsi="Arial" w:cs="Arial"/>
                <w:color w:val="000000" w:themeColor="text1"/>
                <w:szCs w:val="22"/>
              </w:rPr>
              <w:t>, přičemž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E10BE5">
              <w:rPr>
                <w:rFonts w:ascii="Arial" w:hAnsi="Arial" w:cs="Arial"/>
                <w:color w:val="000000" w:themeColor="text1"/>
                <w:szCs w:val="22"/>
              </w:rPr>
              <w:t>až j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>ednu třetinu</w:t>
            </w:r>
            <w:r w:rsidR="00E10BE5">
              <w:rPr>
                <w:rFonts w:ascii="Arial" w:hAnsi="Arial" w:cs="Arial"/>
                <w:color w:val="000000" w:themeColor="text1"/>
                <w:szCs w:val="22"/>
              </w:rPr>
              <w:t>!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gramStart"/>
            <w:r w:rsidRPr="009F1041">
              <w:rPr>
                <w:rFonts w:ascii="Arial" w:hAnsi="Arial" w:cs="Arial"/>
                <w:color w:val="000000" w:themeColor="text1"/>
                <w:szCs w:val="22"/>
              </w:rPr>
              <w:t>tvoří</w:t>
            </w:r>
            <w:proofErr w:type="gramEnd"/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zahraniční pracovníci.</w:t>
            </w:r>
          </w:p>
          <w:p w14:paraId="76B25C63" w14:textId="4B202F6C" w:rsidR="0041230A" w:rsidRPr="009F1041" w:rsidRDefault="0041230A" w:rsidP="00127B67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Spolupráce s ostatními subjekty v ČR je dokumentována na </w:t>
            </w:r>
            <w:r w:rsidR="00E10BE5">
              <w:rPr>
                <w:rFonts w:ascii="Arial" w:hAnsi="Arial" w:cs="Arial"/>
                <w:color w:val="000000" w:themeColor="text1"/>
                <w:sz w:val="22"/>
                <w:szCs w:val="22"/>
              </w:rPr>
              <w:t>pěti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projektech, spolupráce se zahraničními subjekty je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uvedena na příkladu pěti projektů, např.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 prestižními partnery jako </w:t>
            </w:r>
            <w:r w:rsidR="00E10BE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jsou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yo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Clinic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University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of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London,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Charité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Berlin</w:t>
            </w:r>
            <w:proofErr w:type="spellEnd"/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nebo Humboldt University v Berlíně. </w:t>
            </w:r>
            <w:r w:rsidR="00E10BE5">
              <w:rPr>
                <w:rFonts w:ascii="Arial" w:hAnsi="Arial" w:cs="Arial"/>
                <w:color w:val="000000" w:themeColor="text1"/>
                <w:sz w:val="22"/>
                <w:szCs w:val="22"/>
              </w:rPr>
              <w:t>Probíhá také aktivní s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polupráce s řadou subjektů v ČR, zapojení v projektech EXCELES. </w:t>
            </w:r>
            <w:r w:rsidR="00E10BE5">
              <w:rPr>
                <w:rFonts w:ascii="Arial" w:hAnsi="Arial" w:cs="Arial"/>
                <w:color w:val="000000" w:themeColor="text1"/>
                <w:sz w:val="22"/>
                <w:szCs w:val="22"/>
              </w:rPr>
              <w:t>Jsou doloženy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E10BE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také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projekty </w:t>
            </w:r>
            <w:r w:rsidR="00E10BE5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založené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na </w:t>
            </w:r>
            <w:r w:rsidR="00E10BE5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spolupráci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 </w:t>
            </w:r>
            <w:r w:rsidR="00E10BE5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českou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E10BE5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statní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́ </w:t>
            </w:r>
            <w:r w:rsidR="00E10BE5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správou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</w:t>
            </w:r>
            <w:r w:rsidR="00E10BE5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relevantními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E10BE5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mezinárodními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organizacemi (WHO, UNICEF, OECD).</w:t>
            </w:r>
          </w:p>
          <w:p w14:paraId="338F28B1" w14:textId="73EF67F2" w:rsidR="0041230A" w:rsidRPr="009F1041" w:rsidRDefault="0041230A" w:rsidP="00127B67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Mobilita pracovníků je podporována.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Zahraniční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pracovní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cesty jsou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jedním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ze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základních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nástrojů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pro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rozvíjeni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́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osobnostních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,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vědomostních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a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profesionálních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kvalit </w:t>
            </w:r>
            <w:r w:rsidR="003247F0" w:rsidRPr="009F1041">
              <w:rPr>
                <w:rFonts w:ascii="Arial" w:hAnsi="Arial" w:cs="Arial"/>
                <w:color w:val="000000" w:themeColor="text1"/>
                <w:szCs w:val="22"/>
              </w:rPr>
              <w:t>zaměstnanců</w:t>
            </w:r>
            <w:r w:rsidRPr="009F1041">
              <w:rPr>
                <w:rFonts w:ascii="Arial" w:hAnsi="Arial" w:cs="Arial"/>
                <w:color w:val="000000" w:themeColor="text1"/>
                <w:szCs w:val="22"/>
              </w:rPr>
              <w:t xml:space="preserve"> FNUSA. Počet zahraničních návštěv a zejména krátkodobých pobytů pracovníků v zahraniční jednoznačně převyšuje průměr uváděný ostatními organizacemi.</w:t>
            </w:r>
          </w:p>
          <w:p w14:paraId="1618E957" w14:textId="112EE372" w:rsidR="0041230A" w:rsidRPr="009F1041" w:rsidRDefault="003247F0" w:rsidP="00127B67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Spolupráce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aplikační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sférou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4123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je rozvinutá a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probíhá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 FNUSA v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těchto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základních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směrech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:  vývoj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nových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léčiv</w:t>
            </w:r>
            <w:proofErr w:type="spellEnd"/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nebo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zdravotn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ických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prostředků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–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technologické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firmy,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spolupráce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na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kontrahovaném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výzkumu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klinickém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testováni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́ –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farmaceutické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firmy,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inovativní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firmy z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biotechnologického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sektoru,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spolupráce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na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technologických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řešeních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mimo </w:t>
            </w:r>
            <w:proofErr w:type="spellStart"/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VaV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ale s dopadem na tvorbu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datové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základny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smart-solutions</w:t>
            </w:r>
            <w:proofErr w:type="spellEnd"/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spolupráci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veřejností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– </w:t>
            </w:r>
            <w:r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>technologické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firmy, CRO, </w:t>
            </w:r>
            <w:r w:rsidR="0041230A">
              <w:rPr>
                <w:rFonts w:ascii="Arial" w:hAnsi="Arial" w:cs="Arial"/>
                <w:color w:val="000000" w:themeColor="text1"/>
                <w:sz w:val="22"/>
                <w:szCs w:val="22"/>
              </w:rPr>
              <w:t>inovativní</w:t>
            </w:r>
            <w:r w:rsidR="0041230A" w:rsidRPr="009F10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firmy </w:t>
            </w:r>
            <w:r w:rsidR="0041230A">
              <w:rPr>
                <w:rFonts w:ascii="Arial" w:hAnsi="Arial" w:cs="Arial"/>
                <w:color w:val="000000" w:themeColor="text1"/>
                <w:sz w:val="22"/>
                <w:szCs w:val="22"/>
              </w:rPr>
              <w:t>v oblasti biotechnologií.</w:t>
            </w:r>
          </w:p>
          <w:p w14:paraId="54BC7CAE" w14:textId="5BFA9E43" w:rsidR="0041230A" w:rsidRDefault="0041230A" w:rsidP="00127B67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Cs w:val="22"/>
              </w:rPr>
              <w:t>Viabilita</w:t>
            </w:r>
            <w:proofErr w:type="spellEnd"/>
            <w:r>
              <w:rPr>
                <w:rFonts w:ascii="Arial" w:hAnsi="Arial" w:cs="Arial"/>
                <w:color w:val="000000" w:themeColor="text1"/>
                <w:szCs w:val="22"/>
              </w:rPr>
              <w:t xml:space="preserve"> VO je v rámci výzkumných organizací </w:t>
            </w:r>
            <w:proofErr w:type="spellStart"/>
            <w:r>
              <w:rPr>
                <w:rFonts w:ascii="Arial" w:hAnsi="Arial" w:cs="Arial"/>
                <w:color w:val="000000" w:themeColor="text1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color w:val="000000" w:themeColor="text1"/>
                <w:szCs w:val="22"/>
              </w:rPr>
              <w:t xml:space="preserve"> nadprůměrná a je hodnocena jako vynikající (A).</w:t>
            </w:r>
          </w:p>
          <w:p w14:paraId="23A4B37F" w14:textId="77777777" w:rsidR="00331A45" w:rsidRDefault="00331A45" w:rsidP="00127B67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385B9C0" w14:textId="06A37338" w:rsidR="00331A45" w:rsidRDefault="00331A4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331A45">
              <w:rPr>
                <w:rFonts w:ascii="Arial" w:hAnsi="Arial" w:cs="Arial"/>
                <w:b/>
                <w:bCs/>
                <w:szCs w:val="22"/>
              </w:rPr>
              <w:t>PRUBĚŽNÉ HODNOCENÍ 2024</w:t>
            </w:r>
            <w:r w:rsidR="00127B67">
              <w:rPr>
                <w:rFonts w:ascii="Arial" w:hAnsi="Arial" w:cs="Arial"/>
                <w:b/>
                <w:bCs/>
                <w:szCs w:val="22"/>
              </w:rPr>
              <w:t xml:space="preserve"> za rok 2023</w:t>
            </w:r>
          </w:p>
          <w:p w14:paraId="617DCADB" w14:textId="77777777" w:rsidR="00331A45" w:rsidRPr="00331A45" w:rsidRDefault="00331A4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szCs w:val="22"/>
              </w:rPr>
            </w:pPr>
            <w:r w:rsidRPr="00331A45">
              <w:rPr>
                <w:rFonts w:ascii="Arial" w:hAnsi="Arial" w:cs="Arial"/>
                <w:szCs w:val="22"/>
              </w:rPr>
              <w:t xml:space="preserve">V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rámci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průběžného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zhodnocení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plněni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akčního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plánu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získala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FNUSA (ICRC) ze strany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Evropske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komise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nejlepši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možne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průběžne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zhodnocení.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Tímto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se FNUSA (ICRC)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přiblížila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k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dalšímu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upevněni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svého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postavení jako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výzkumne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organizace,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ktera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se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zavázala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k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dodržováni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vysokých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standardů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stanovených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Evropskou chartou pro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lastRenderedPageBreak/>
              <w:t>výzkumne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pracovníky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a Kodexem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chováni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pro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přijímáni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výzkumných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pracovníku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̊. </w:t>
            </w:r>
          </w:p>
          <w:p w14:paraId="7680A6C8" w14:textId="31DC14E4" w:rsidR="00331A45" w:rsidRPr="00331A45" w:rsidRDefault="00331A4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szCs w:val="22"/>
              </w:rPr>
            </w:pPr>
            <w:r w:rsidRPr="00331A45">
              <w:rPr>
                <w:rFonts w:ascii="Arial" w:hAnsi="Arial" w:cs="Arial"/>
                <w:szCs w:val="22"/>
              </w:rPr>
              <w:t xml:space="preserve">V roce 2023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pokračovala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implementace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Plánu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genderove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rovnosti FNUSA-ICRC pro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obdobi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2022-2024 (GEP).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Patři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mezi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prvni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zaměstnavatele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kteři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opakovane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̌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prošli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analýzou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rovného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odměňováni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nástrojem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Logib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(rok 2022, 2023</w:t>
            </w:r>
            <w:proofErr w:type="gramStart"/>
            <w:r w:rsidRPr="00331A45">
              <w:rPr>
                <w:rFonts w:ascii="Arial" w:hAnsi="Arial" w:cs="Arial"/>
                <w:szCs w:val="22"/>
              </w:rPr>
              <w:t xml:space="preserve">) 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Cílem</w:t>
            </w:r>
            <w:proofErr w:type="spellEnd"/>
            <w:proofErr w:type="gramEnd"/>
            <w:r w:rsidRPr="00331A45">
              <w:rPr>
                <w:rFonts w:ascii="Arial" w:hAnsi="Arial" w:cs="Arial"/>
                <w:szCs w:val="22"/>
              </w:rPr>
              <w:t xml:space="preserve"> Akademie u sv. Anny je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podpořit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kariérni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 xml:space="preserve">́ a osobní rozvoj 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zaměstnancu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>̊/</w:t>
            </w:r>
            <w:proofErr w:type="spellStart"/>
            <w:r w:rsidRPr="00331A45">
              <w:rPr>
                <w:rFonts w:ascii="Arial" w:hAnsi="Arial" w:cs="Arial"/>
                <w:szCs w:val="22"/>
              </w:rPr>
              <w:t>zaměstnankyn</w:t>
            </w:r>
            <w:proofErr w:type="spellEnd"/>
            <w:r w:rsidRPr="00331A45">
              <w:rPr>
                <w:rFonts w:ascii="Arial" w:hAnsi="Arial" w:cs="Arial"/>
                <w:szCs w:val="22"/>
              </w:rPr>
              <w:t>̌.</w:t>
            </w:r>
          </w:p>
          <w:p w14:paraId="58EB3620" w14:textId="77777777" w:rsidR="0081610B" w:rsidRDefault="00331A45" w:rsidP="00127B67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Pro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rozděleni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prostředku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̊ IP mezi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výzkumne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týmy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byla v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rámci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ICRC v roce 2021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vypracována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nová metodika,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ktera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zohledňuje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výsledky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mezinárodního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hodnocení,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prováděne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Mezinárodním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vědeckým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poradním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sborem, kvalitu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publikačních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výsledku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̊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jednotlivých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týmu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̊ (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podíl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v Q1/Top 5, publikace s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korespondujícím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autorem a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výsledky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hodnocení v Modulu 1 –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excelentni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́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výsledky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 xml:space="preserve"> dle </w:t>
            </w:r>
            <w:proofErr w:type="spellStart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národni</w:t>
            </w:r>
            <w:proofErr w:type="spellEnd"/>
            <w:r w:rsidRPr="00331A45">
              <w:rPr>
                <w:rFonts w:ascii="Arial" w:hAnsi="Arial" w:cs="Arial"/>
                <w:color w:val="000000" w:themeColor="text1"/>
                <w:szCs w:val="22"/>
              </w:rPr>
              <w:t>́ Metodiky 17+</w:t>
            </w:r>
          </w:p>
          <w:p w14:paraId="526868B1" w14:textId="77777777" w:rsidR="0081610B" w:rsidRDefault="0081610B" w:rsidP="00127B67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43E4F87" w14:textId="21DEF9FD" w:rsidR="00331A45" w:rsidRDefault="0081610B" w:rsidP="00127B67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M</w:t>
            </w:r>
            <w:r w:rsidRPr="0081610B">
              <w:rPr>
                <w:rFonts w:ascii="Arial" w:hAnsi="Arial" w:cs="Arial"/>
                <w:color w:val="000000" w:themeColor="text1"/>
                <w:szCs w:val="22"/>
              </w:rPr>
              <w:t xml:space="preserve">á adekvátní organizační i personální strukturu, jsou zapojeny české zdroje cca </w:t>
            </w:r>
            <w:proofErr w:type="gramStart"/>
            <w:r w:rsidRPr="0081610B">
              <w:rPr>
                <w:rFonts w:ascii="Arial" w:hAnsi="Arial" w:cs="Arial"/>
                <w:color w:val="000000" w:themeColor="text1"/>
                <w:szCs w:val="22"/>
              </w:rPr>
              <w:t>90%</w:t>
            </w:r>
            <w:proofErr w:type="gramEnd"/>
            <w:r w:rsidRPr="0081610B">
              <w:rPr>
                <w:rFonts w:ascii="Arial" w:hAnsi="Arial" w:cs="Arial"/>
                <w:color w:val="000000" w:themeColor="text1"/>
                <w:szCs w:val="22"/>
              </w:rPr>
              <w:t>, realizuje mezinárodní projekty.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Pr="0081610B">
              <w:rPr>
                <w:rFonts w:ascii="Arial" w:hAnsi="Arial" w:cs="Arial"/>
                <w:color w:val="000000" w:themeColor="text1"/>
                <w:szCs w:val="22"/>
              </w:rPr>
              <w:t xml:space="preserve">Ocenění zasluhuje management a obecná personální politika, sledující i přiměřené sociální hledisko a její rámec v dodržování dobré praxe. Silně zastoupeni jsou studenti DSP, školení pracovníky organizace. </w:t>
            </w:r>
          </w:p>
          <w:p w14:paraId="7B507343" w14:textId="77777777" w:rsidR="00273055" w:rsidRDefault="00273055" w:rsidP="00127B67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3E7DDD4" w14:textId="5135F1F8" w:rsidR="00273055" w:rsidRPr="00331A45" w:rsidRDefault="00273055" w:rsidP="00127B67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273055">
              <w:rPr>
                <w:rFonts w:ascii="Arial" w:hAnsi="Arial" w:cs="Arial"/>
                <w:b/>
                <w:bCs/>
                <w:szCs w:val="22"/>
              </w:rPr>
              <w:t>Průběžné hodnocení odpovídá stavu v době škálování</w:t>
            </w:r>
          </w:p>
          <w:p w14:paraId="50BBE67A" w14:textId="77777777" w:rsidR="00331A45" w:rsidRDefault="00331A45" w:rsidP="00127B67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B495910" w14:textId="1295BA58" w:rsidR="0041230A" w:rsidRDefault="0041230A" w:rsidP="00127B6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06032A" w:rsidRPr="00143C96" w14:paraId="615D2CEA" w14:textId="77777777" w:rsidTr="00232FC0">
        <w:trPr>
          <w:trHeight w:val="255"/>
          <w:jc w:val="center"/>
        </w:trPr>
        <w:tc>
          <w:tcPr>
            <w:tcW w:w="26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66D6EA" w14:textId="65E1FEA7" w:rsidR="0006032A" w:rsidRPr="00DB5CDA" w:rsidRDefault="0006032A" w:rsidP="0006032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lastRenderedPageBreak/>
              <w:t>Modul 5 Strategie a koncepce A</w:t>
            </w:r>
          </w:p>
        </w:tc>
        <w:tc>
          <w:tcPr>
            <w:tcW w:w="7160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87899C" w14:textId="77777777" w:rsidR="0006032A" w:rsidRDefault="0041230A" w:rsidP="00127B67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 w:rsidRPr="00022C44">
              <w:rPr>
                <w:rFonts w:ascii="Arial" w:hAnsi="Arial" w:cs="Arial"/>
                <w:szCs w:val="22"/>
              </w:rPr>
              <w:t xml:space="preserve">FNUSA má </w:t>
            </w:r>
            <w:r w:rsidR="00232FC0">
              <w:rPr>
                <w:rFonts w:ascii="Arial" w:hAnsi="Arial" w:cs="Arial"/>
                <w:szCs w:val="22"/>
              </w:rPr>
              <w:t xml:space="preserve">kvalitně </w:t>
            </w:r>
            <w:r w:rsidRPr="00022C44">
              <w:rPr>
                <w:rFonts w:ascii="Arial" w:hAnsi="Arial" w:cs="Arial"/>
                <w:szCs w:val="22"/>
              </w:rPr>
              <w:t xml:space="preserve">vypracovanou koncepci, misi a vizi v oblasti lékařských věd a zdravotnického </w:t>
            </w:r>
            <w:proofErr w:type="spellStart"/>
            <w:r w:rsidRPr="00022C44">
              <w:rPr>
                <w:rFonts w:ascii="Arial" w:hAnsi="Arial" w:cs="Arial"/>
                <w:szCs w:val="22"/>
              </w:rPr>
              <w:t>VaVaI</w:t>
            </w:r>
            <w:proofErr w:type="spellEnd"/>
            <w:r w:rsidRPr="00022C44">
              <w:rPr>
                <w:rFonts w:ascii="Arial" w:hAnsi="Arial" w:cs="Arial"/>
                <w:szCs w:val="22"/>
              </w:rPr>
              <w:t xml:space="preserve"> s rozpracováním do 8 cílů s dalším jednotlivými projekty – nejvíce v oboru </w:t>
            </w:r>
            <w:proofErr w:type="spellStart"/>
            <w:r w:rsidRPr="00022C44">
              <w:rPr>
                <w:rFonts w:ascii="Arial" w:hAnsi="Arial" w:cs="Arial"/>
                <w:szCs w:val="22"/>
              </w:rPr>
              <w:t>Clinical</w:t>
            </w:r>
            <w:proofErr w:type="spellEnd"/>
            <w:r w:rsidRPr="00022C44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022C44">
              <w:rPr>
                <w:rFonts w:ascii="Arial" w:hAnsi="Arial" w:cs="Arial"/>
                <w:szCs w:val="22"/>
              </w:rPr>
              <w:t>Medicine</w:t>
            </w:r>
            <w:proofErr w:type="spellEnd"/>
            <w:r w:rsidRPr="00022C44">
              <w:rPr>
                <w:rFonts w:ascii="Arial" w:hAnsi="Arial" w:cs="Arial"/>
                <w:szCs w:val="22"/>
              </w:rPr>
              <w:t xml:space="preserve">, celkem 66 dílčích cílů. Klíčovou roli v koncepci výzkumu ve FNUSA hraje ICRC. Tato vědeckovýzkumná instituce je zaměřena na klinický a </w:t>
            </w:r>
            <w:r w:rsidR="00232FC0" w:rsidRPr="00022C44">
              <w:rPr>
                <w:rFonts w:ascii="Arial" w:hAnsi="Arial" w:cs="Arial"/>
                <w:szCs w:val="22"/>
              </w:rPr>
              <w:t>preklinický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výzkum</w:t>
            </w:r>
            <w:r w:rsidRPr="00022C44">
              <w:rPr>
                <w:rFonts w:ascii="Arial" w:hAnsi="Arial" w:cs="Arial"/>
                <w:szCs w:val="22"/>
              </w:rPr>
              <w:t xml:space="preserve">, </w:t>
            </w:r>
            <w:r w:rsidR="00232FC0" w:rsidRPr="00022C44">
              <w:rPr>
                <w:rFonts w:ascii="Arial" w:hAnsi="Arial" w:cs="Arial"/>
                <w:szCs w:val="22"/>
              </w:rPr>
              <w:t>zejména</w:t>
            </w:r>
            <w:r w:rsidRPr="00022C44">
              <w:rPr>
                <w:rFonts w:ascii="Arial" w:hAnsi="Arial" w:cs="Arial"/>
                <w:szCs w:val="22"/>
              </w:rPr>
              <w:t xml:space="preserve"> v oblastech kardiologie a neurologie, s </w:t>
            </w:r>
            <w:r w:rsidR="00232FC0" w:rsidRPr="00022C44">
              <w:rPr>
                <w:rFonts w:ascii="Arial" w:hAnsi="Arial" w:cs="Arial"/>
                <w:szCs w:val="22"/>
              </w:rPr>
              <w:t>cílem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zlepšit</w:t>
            </w:r>
            <w:r w:rsidRPr="00022C44">
              <w:rPr>
                <w:rFonts w:ascii="Arial" w:hAnsi="Arial" w:cs="Arial"/>
                <w:szCs w:val="22"/>
              </w:rPr>
              <w:t xml:space="preserve"> p</w:t>
            </w:r>
            <w:r w:rsidR="00232FC0">
              <w:rPr>
                <w:rFonts w:ascii="Arial" w:hAnsi="Arial" w:cs="Arial"/>
                <w:szCs w:val="22"/>
              </w:rPr>
              <w:t>éč</w:t>
            </w:r>
            <w:r w:rsidRPr="00022C44">
              <w:rPr>
                <w:rFonts w:ascii="Arial" w:hAnsi="Arial" w:cs="Arial"/>
                <w:szCs w:val="22"/>
              </w:rPr>
              <w:t xml:space="preserve">i o pacienty. Od </w:t>
            </w:r>
            <w:r w:rsidR="00232FC0" w:rsidRPr="00022C44">
              <w:rPr>
                <w:rFonts w:ascii="Arial" w:hAnsi="Arial" w:cs="Arial"/>
                <w:szCs w:val="22"/>
              </w:rPr>
              <w:t>července</w:t>
            </w:r>
            <w:r w:rsidRPr="00022C44">
              <w:rPr>
                <w:rFonts w:ascii="Arial" w:hAnsi="Arial" w:cs="Arial"/>
                <w:szCs w:val="22"/>
              </w:rPr>
              <w:t xml:space="preserve"> 2022 je </w:t>
            </w:r>
            <w:r w:rsidR="00232FC0" w:rsidRPr="00022C44">
              <w:rPr>
                <w:rFonts w:ascii="Arial" w:hAnsi="Arial" w:cs="Arial"/>
                <w:szCs w:val="22"/>
              </w:rPr>
              <w:t>společným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pracovištěm</w:t>
            </w:r>
            <w:r w:rsidRPr="00022C44">
              <w:rPr>
                <w:rFonts w:ascii="Arial" w:hAnsi="Arial" w:cs="Arial"/>
                <w:szCs w:val="22"/>
              </w:rPr>
              <w:t xml:space="preserve"> FNUSA a </w:t>
            </w:r>
            <w:r w:rsidR="00232FC0" w:rsidRPr="00022C44">
              <w:rPr>
                <w:rFonts w:ascii="Arial" w:hAnsi="Arial" w:cs="Arial"/>
                <w:szCs w:val="22"/>
              </w:rPr>
              <w:t>Lékařské</w:t>
            </w:r>
            <w:r w:rsidRPr="00022C44">
              <w:rPr>
                <w:rFonts w:ascii="Arial" w:hAnsi="Arial" w:cs="Arial"/>
                <w:szCs w:val="22"/>
              </w:rPr>
              <w:t xml:space="preserve"> fakulty Masarykovy univerzity v </w:t>
            </w:r>
            <w:r w:rsidR="00232FC0" w:rsidRPr="00022C44">
              <w:rPr>
                <w:rFonts w:ascii="Arial" w:hAnsi="Arial" w:cs="Arial"/>
                <w:szCs w:val="22"/>
              </w:rPr>
              <w:t>Brně</w:t>
            </w:r>
            <w:r w:rsidRPr="00022C44">
              <w:rPr>
                <w:rFonts w:ascii="Arial" w:hAnsi="Arial" w:cs="Arial"/>
                <w:szCs w:val="22"/>
              </w:rPr>
              <w:t xml:space="preserve">. </w:t>
            </w:r>
            <w:r w:rsidR="00232FC0" w:rsidRPr="00022C44">
              <w:rPr>
                <w:rFonts w:ascii="Arial" w:hAnsi="Arial" w:cs="Arial"/>
                <w:szCs w:val="22"/>
              </w:rPr>
              <w:t>Má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také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společné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výzkumné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týmy</w:t>
            </w:r>
            <w:r w:rsidRPr="00022C44">
              <w:rPr>
                <w:rFonts w:ascii="Arial" w:hAnsi="Arial" w:cs="Arial"/>
                <w:szCs w:val="22"/>
              </w:rPr>
              <w:t xml:space="preserve"> s </w:t>
            </w:r>
            <w:proofErr w:type="spellStart"/>
            <w:r w:rsidRPr="00022C44">
              <w:rPr>
                <w:rFonts w:ascii="Arial" w:hAnsi="Arial" w:cs="Arial"/>
                <w:szCs w:val="22"/>
              </w:rPr>
              <w:t>Přírodovědeckou</w:t>
            </w:r>
            <w:proofErr w:type="spellEnd"/>
            <w:r w:rsidRPr="00022C44">
              <w:rPr>
                <w:rFonts w:ascii="Arial" w:hAnsi="Arial" w:cs="Arial"/>
                <w:szCs w:val="22"/>
              </w:rPr>
              <w:t xml:space="preserve"> fakultou MU a </w:t>
            </w:r>
            <w:r w:rsidR="00232FC0" w:rsidRPr="00022C44">
              <w:rPr>
                <w:rFonts w:ascii="Arial" w:hAnsi="Arial" w:cs="Arial"/>
                <w:szCs w:val="22"/>
              </w:rPr>
              <w:t>Biofyzikálním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ústavem</w:t>
            </w:r>
            <w:r w:rsidRPr="00022C44">
              <w:rPr>
                <w:rFonts w:ascii="Arial" w:hAnsi="Arial" w:cs="Arial"/>
                <w:szCs w:val="22"/>
              </w:rPr>
              <w:t xml:space="preserve"> Akademie </w:t>
            </w:r>
            <w:r w:rsidR="00232FC0" w:rsidRPr="00022C44">
              <w:rPr>
                <w:rFonts w:ascii="Arial" w:hAnsi="Arial" w:cs="Arial"/>
                <w:szCs w:val="22"/>
              </w:rPr>
              <w:t>věd</w:t>
            </w:r>
            <w:r w:rsidRPr="00022C44">
              <w:rPr>
                <w:rFonts w:ascii="Arial" w:hAnsi="Arial" w:cs="Arial"/>
                <w:szCs w:val="22"/>
              </w:rPr>
              <w:t xml:space="preserve"> ČR a </w:t>
            </w:r>
            <w:r w:rsidR="00232FC0" w:rsidRPr="00022C44">
              <w:rPr>
                <w:rFonts w:ascii="Arial" w:hAnsi="Arial" w:cs="Arial"/>
                <w:szCs w:val="22"/>
              </w:rPr>
              <w:t>úzce</w:t>
            </w:r>
            <w:r w:rsidRPr="00022C44">
              <w:rPr>
                <w:rFonts w:ascii="Arial" w:hAnsi="Arial" w:cs="Arial"/>
                <w:szCs w:val="22"/>
              </w:rPr>
              <w:t xml:space="preserve"> spolupracuje s Výzkumným </w:t>
            </w:r>
            <w:r w:rsidR="00232FC0" w:rsidRPr="00022C44">
              <w:rPr>
                <w:rFonts w:ascii="Arial" w:hAnsi="Arial" w:cs="Arial"/>
                <w:szCs w:val="22"/>
              </w:rPr>
              <w:t>ústavem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veterinárního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lékařství</w:t>
            </w:r>
            <w:r w:rsidRPr="00022C44">
              <w:rPr>
                <w:rFonts w:ascii="Arial" w:hAnsi="Arial" w:cs="Arial"/>
                <w:szCs w:val="22"/>
              </w:rPr>
              <w:t xml:space="preserve"> (VÚVEL) a s Farmaceutickou fakultou MU. Schopnost transferu </w:t>
            </w:r>
            <w:r w:rsidR="00232FC0" w:rsidRPr="00022C44">
              <w:rPr>
                <w:rFonts w:ascii="Arial" w:hAnsi="Arial" w:cs="Arial"/>
                <w:szCs w:val="22"/>
              </w:rPr>
              <w:t>výsledků</w:t>
            </w:r>
            <w:r w:rsidRPr="00022C44">
              <w:rPr>
                <w:rFonts w:ascii="Arial" w:hAnsi="Arial" w:cs="Arial"/>
                <w:szCs w:val="22"/>
              </w:rPr>
              <w:t xml:space="preserve"> do praxe je </w:t>
            </w:r>
            <w:r w:rsidR="00232FC0" w:rsidRPr="00022C44">
              <w:rPr>
                <w:rFonts w:ascii="Arial" w:hAnsi="Arial" w:cs="Arial"/>
                <w:szCs w:val="22"/>
              </w:rPr>
              <w:t>přímo</w:t>
            </w:r>
            <w:r w:rsidRPr="00022C44">
              <w:rPr>
                <w:rFonts w:ascii="Arial" w:hAnsi="Arial" w:cs="Arial"/>
                <w:szCs w:val="22"/>
              </w:rPr>
              <w:t xml:space="preserve"> spojena </w:t>
            </w:r>
            <w:r w:rsidR="00232FC0" w:rsidRPr="00022C44">
              <w:rPr>
                <w:rFonts w:ascii="Arial" w:hAnsi="Arial" w:cs="Arial"/>
                <w:szCs w:val="22"/>
              </w:rPr>
              <w:t>počtem</w:t>
            </w:r>
            <w:r w:rsidRPr="00022C44">
              <w:rPr>
                <w:rFonts w:ascii="Arial" w:hAnsi="Arial" w:cs="Arial"/>
                <w:szCs w:val="22"/>
              </w:rPr>
              <w:t xml:space="preserve"> a charakterem </w:t>
            </w:r>
            <w:r w:rsidR="00232FC0" w:rsidRPr="00022C44">
              <w:rPr>
                <w:rFonts w:ascii="Arial" w:hAnsi="Arial" w:cs="Arial"/>
                <w:szCs w:val="22"/>
              </w:rPr>
              <w:t>realizovaných</w:t>
            </w:r>
            <w:r w:rsidRPr="00022C44">
              <w:rPr>
                <w:rFonts w:ascii="Arial" w:hAnsi="Arial" w:cs="Arial"/>
                <w:szCs w:val="22"/>
              </w:rPr>
              <w:t xml:space="preserve"> grantů ve </w:t>
            </w:r>
            <w:r w:rsidR="00232FC0" w:rsidRPr="00022C44">
              <w:rPr>
                <w:rFonts w:ascii="Arial" w:hAnsi="Arial" w:cs="Arial"/>
                <w:szCs w:val="22"/>
              </w:rPr>
              <w:t>spolupráci</w:t>
            </w:r>
            <w:r w:rsidRPr="00022C44">
              <w:rPr>
                <w:rFonts w:ascii="Arial" w:hAnsi="Arial" w:cs="Arial"/>
                <w:szCs w:val="22"/>
              </w:rPr>
              <w:t xml:space="preserve"> s </w:t>
            </w:r>
            <w:r w:rsidR="00232FC0" w:rsidRPr="00022C44">
              <w:rPr>
                <w:rFonts w:ascii="Arial" w:hAnsi="Arial" w:cs="Arial"/>
                <w:szCs w:val="22"/>
              </w:rPr>
              <w:t>aplikační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sférou</w:t>
            </w:r>
            <w:r w:rsidRPr="00022C44">
              <w:rPr>
                <w:rFonts w:ascii="Arial" w:hAnsi="Arial" w:cs="Arial"/>
                <w:szCs w:val="22"/>
              </w:rPr>
              <w:t xml:space="preserve">. </w:t>
            </w:r>
            <w:r w:rsidR="00232FC0" w:rsidRPr="00022C44">
              <w:rPr>
                <w:rFonts w:ascii="Arial" w:hAnsi="Arial" w:cs="Arial"/>
                <w:szCs w:val="22"/>
              </w:rPr>
              <w:t>Vědeckovýzkumná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činnost</w:t>
            </w:r>
            <w:r w:rsidRPr="00022C44">
              <w:rPr>
                <w:rFonts w:ascii="Arial" w:hAnsi="Arial" w:cs="Arial"/>
                <w:szCs w:val="22"/>
              </w:rPr>
              <w:t xml:space="preserve"> FNUSA </w:t>
            </w:r>
            <w:r w:rsidR="00232FC0" w:rsidRPr="00022C44">
              <w:rPr>
                <w:rFonts w:ascii="Arial" w:hAnsi="Arial" w:cs="Arial"/>
                <w:szCs w:val="22"/>
              </w:rPr>
              <w:t>plně</w:t>
            </w:r>
            <w:r w:rsidRPr="00022C44">
              <w:rPr>
                <w:rFonts w:ascii="Arial" w:hAnsi="Arial" w:cs="Arial"/>
                <w:szCs w:val="22"/>
              </w:rPr>
              <w:t xml:space="preserve"> reflektuje </w:t>
            </w:r>
            <w:r w:rsidR="00232FC0" w:rsidRPr="00022C44">
              <w:rPr>
                <w:rFonts w:ascii="Arial" w:hAnsi="Arial" w:cs="Arial"/>
                <w:szCs w:val="22"/>
              </w:rPr>
              <w:t>národní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strategické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plány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zapracované</w:t>
            </w:r>
            <w:r w:rsidRPr="00022C44">
              <w:rPr>
                <w:rFonts w:ascii="Arial" w:hAnsi="Arial" w:cs="Arial"/>
                <w:szCs w:val="22"/>
              </w:rPr>
              <w:t xml:space="preserve"> v </w:t>
            </w:r>
            <w:r w:rsidR="00232FC0" w:rsidRPr="00022C44">
              <w:rPr>
                <w:rFonts w:ascii="Arial" w:hAnsi="Arial" w:cs="Arial"/>
                <w:szCs w:val="22"/>
              </w:rPr>
              <w:t>Národní</w:t>
            </w:r>
            <w:r w:rsidRPr="00022C44">
              <w:rPr>
                <w:rFonts w:ascii="Arial" w:hAnsi="Arial" w:cs="Arial"/>
                <w:szCs w:val="22"/>
              </w:rPr>
              <w:t xml:space="preserve"> politice </w:t>
            </w:r>
            <w:r w:rsidR="00232FC0" w:rsidRPr="00022C44">
              <w:rPr>
                <w:rFonts w:ascii="Arial" w:hAnsi="Arial" w:cs="Arial"/>
                <w:szCs w:val="22"/>
              </w:rPr>
              <w:t>výzkumu</w:t>
            </w:r>
            <w:r w:rsidRPr="00022C44">
              <w:rPr>
                <w:rFonts w:ascii="Arial" w:hAnsi="Arial" w:cs="Arial"/>
                <w:szCs w:val="22"/>
              </w:rPr>
              <w:t xml:space="preserve">, </w:t>
            </w:r>
            <w:r w:rsidR="00232FC0" w:rsidRPr="00022C44">
              <w:rPr>
                <w:rFonts w:ascii="Arial" w:hAnsi="Arial" w:cs="Arial"/>
                <w:szCs w:val="22"/>
              </w:rPr>
              <w:t>vývoje</w:t>
            </w:r>
            <w:r w:rsidRPr="00022C44">
              <w:rPr>
                <w:rFonts w:ascii="Arial" w:hAnsi="Arial" w:cs="Arial"/>
                <w:szCs w:val="22"/>
              </w:rPr>
              <w:t xml:space="preserve"> a inovací ČR 2021+, </w:t>
            </w:r>
            <w:r w:rsidR="00232FC0" w:rsidRPr="00022C44">
              <w:rPr>
                <w:rFonts w:ascii="Arial" w:hAnsi="Arial" w:cs="Arial"/>
                <w:szCs w:val="22"/>
              </w:rPr>
              <w:t>st</w:t>
            </w:r>
            <w:r w:rsidR="00232FC0">
              <w:rPr>
                <w:rFonts w:ascii="Arial" w:hAnsi="Arial" w:cs="Arial"/>
                <w:szCs w:val="22"/>
              </w:rPr>
              <w:t>ejně</w:t>
            </w:r>
            <w:r w:rsidRPr="00022C44">
              <w:rPr>
                <w:rFonts w:ascii="Arial" w:hAnsi="Arial" w:cs="Arial"/>
                <w:szCs w:val="22"/>
              </w:rPr>
              <w:t xml:space="preserve"> tak </w:t>
            </w:r>
            <w:r w:rsidR="00232FC0" w:rsidRPr="00022C44">
              <w:rPr>
                <w:rFonts w:ascii="Arial" w:hAnsi="Arial" w:cs="Arial"/>
                <w:szCs w:val="22"/>
              </w:rPr>
              <w:t>cíle</w:t>
            </w:r>
            <w:r w:rsidRPr="00022C44">
              <w:rPr>
                <w:rFonts w:ascii="Arial" w:hAnsi="Arial" w:cs="Arial"/>
                <w:szCs w:val="22"/>
              </w:rPr>
              <w:t xml:space="preserve"> strategie </w:t>
            </w:r>
            <w:r w:rsidR="00232FC0" w:rsidRPr="00022C44">
              <w:rPr>
                <w:rFonts w:ascii="Arial" w:hAnsi="Arial" w:cs="Arial"/>
                <w:szCs w:val="22"/>
              </w:rPr>
              <w:t>Zdraví</w:t>
            </w:r>
            <w:r w:rsidRPr="00022C44">
              <w:rPr>
                <w:rFonts w:ascii="Arial" w:hAnsi="Arial" w:cs="Arial"/>
                <w:szCs w:val="22"/>
              </w:rPr>
              <w:t xml:space="preserve"> 2030 i </w:t>
            </w:r>
            <w:r w:rsidR="00232FC0" w:rsidRPr="00022C44">
              <w:rPr>
                <w:rFonts w:ascii="Arial" w:hAnsi="Arial" w:cs="Arial"/>
                <w:szCs w:val="22"/>
              </w:rPr>
              <w:t>Národní</w:t>
            </w:r>
            <w:r w:rsidRPr="00022C44">
              <w:rPr>
                <w:rFonts w:ascii="Arial" w:hAnsi="Arial" w:cs="Arial"/>
                <w:szCs w:val="22"/>
              </w:rPr>
              <w:t xml:space="preserve"> </w:t>
            </w:r>
            <w:r w:rsidR="00232FC0" w:rsidRPr="00022C44">
              <w:rPr>
                <w:rFonts w:ascii="Arial" w:hAnsi="Arial" w:cs="Arial"/>
                <w:szCs w:val="22"/>
              </w:rPr>
              <w:t>výzkumnou</w:t>
            </w:r>
            <w:r w:rsidRPr="00022C44">
              <w:rPr>
                <w:rFonts w:ascii="Arial" w:hAnsi="Arial" w:cs="Arial"/>
                <w:szCs w:val="22"/>
              </w:rPr>
              <w:t xml:space="preserve"> a </w:t>
            </w:r>
            <w:r w:rsidR="00232FC0" w:rsidRPr="00022C44">
              <w:rPr>
                <w:rFonts w:ascii="Arial" w:hAnsi="Arial" w:cs="Arial"/>
                <w:szCs w:val="22"/>
              </w:rPr>
              <w:t>inovační</w:t>
            </w:r>
            <w:r w:rsidRPr="00022C44">
              <w:rPr>
                <w:rFonts w:ascii="Arial" w:hAnsi="Arial" w:cs="Arial"/>
                <w:szCs w:val="22"/>
              </w:rPr>
              <w:t xml:space="preserve"> strategii RIS3. Strategie</w:t>
            </w:r>
            <w:r>
              <w:rPr>
                <w:rFonts w:ascii="Arial" w:hAnsi="Arial" w:cs="Arial"/>
                <w:szCs w:val="22"/>
              </w:rPr>
              <w:t xml:space="preserve"> a koncepce</w:t>
            </w:r>
            <w:r w:rsidRPr="00022C44">
              <w:rPr>
                <w:rFonts w:ascii="Arial" w:hAnsi="Arial" w:cs="Arial"/>
                <w:szCs w:val="22"/>
              </w:rPr>
              <w:t xml:space="preserve"> VO je hodnocena jako vynikající (A).</w:t>
            </w:r>
          </w:p>
          <w:p w14:paraId="0DE6C4C4" w14:textId="77777777" w:rsidR="00331A45" w:rsidRDefault="00331A4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331A45">
              <w:rPr>
                <w:rFonts w:ascii="Arial" w:hAnsi="Arial" w:cs="Arial"/>
                <w:b/>
                <w:bCs/>
                <w:szCs w:val="22"/>
              </w:rPr>
              <w:t>PRUBĚŽNÉ HODNOCENÍ 2024</w:t>
            </w:r>
          </w:p>
          <w:p w14:paraId="11242288" w14:textId="77777777" w:rsidR="00331A45" w:rsidRDefault="00331A4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szCs w:val="22"/>
              </w:rPr>
            </w:pPr>
            <w:r w:rsidRPr="00331A45">
              <w:rPr>
                <w:rFonts w:ascii="Arial" w:hAnsi="Arial" w:cs="Arial"/>
                <w:szCs w:val="22"/>
              </w:rPr>
              <w:t>Strategie a koncepce FNUSA Brno a její hlavní vědecko-výzkumné organizace ICRC jsou rozpracované, je formulováno velké množství dílčích cílů a je popsán transfer výsledků do praxe. Vědeckovýzkumná činnost odráží národní strategické plány.</w:t>
            </w:r>
          </w:p>
          <w:p w14:paraId="36969CE5" w14:textId="77777777" w:rsidR="0081610B" w:rsidRDefault="0081610B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szCs w:val="22"/>
              </w:rPr>
            </w:pPr>
            <w:r w:rsidRPr="0081610B">
              <w:rPr>
                <w:rFonts w:ascii="Arial" w:hAnsi="Arial" w:cs="Arial"/>
                <w:szCs w:val="22"/>
              </w:rPr>
              <w:t xml:space="preserve">Pečlivě </w:t>
            </w:r>
            <w:proofErr w:type="gramStart"/>
            <w:r w:rsidRPr="0081610B">
              <w:rPr>
                <w:rFonts w:ascii="Arial" w:hAnsi="Arial" w:cs="Arial"/>
                <w:szCs w:val="22"/>
              </w:rPr>
              <w:t>plánuje</w:t>
            </w:r>
            <w:proofErr w:type="gramEnd"/>
            <w:r w:rsidRPr="0081610B">
              <w:rPr>
                <w:rFonts w:ascii="Arial" w:hAnsi="Arial" w:cs="Arial"/>
                <w:szCs w:val="22"/>
              </w:rPr>
              <w:t xml:space="preserve"> jak vlastní vědecký obsah svých klíčových oblastí, rozvíjí ovšem i stimulující manažerský systém a podpůrné činnosti, včetně „</w:t>
            </w:r>
            <w:proofErr w:type="spellStart"/>
            <w:r w:rsidRPr="0081610B">
              <w:rPr>
                <w:rFonts w:ascii="Arial" w:hAnsi="Arial" w:cs="Arial"/>
                <w:szCs w:val="22"/>
              </w:rPr>
              <w:t>prozaměstnaneckých</w:t>
            </w:r>
            <w:proofErr w:type="spellEnd"/>
            <w:r w:rsidRPr="0081610B">
              <w:rPr>
                <w:rFonts w:ascii="Arial" w:hAnsi="Arial" w:cs="Arial"/>
                <w:szCs w:val="22"/>
              </w:rPr>
              <w:t xml:space="preserve">“ politik. Velmi pozitivní je zapojení zahraničních </w:t>
            </w:r>
            <w:r w:rsidRPr="0081610B">
              <w:rPr>
                <w:rFonts w:ascii="Arial" w:hAnsi="Arial" w:cs="Arial"/>
                <w:szCs w:val="22"/>
              </w:rPr>
              <w:lastRenderedPageBreak/>
              <w:t>vědců a mechanismy procesů, směřující v této oblasti k dalšímu pozitivnímu rozvoji.</w:t>
            </w:r>
          </w:p>
          <w:p w14:paraId="7A4FC59E" w14:textId="024FB720" w:rsidR="00331A45" w:rsidRPr="00273055" w:rsidRDefault="00273055" w:rsidP="00127B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both"/>
              <w:rPr>
                <w:rFonts w:ascii="Arial" w:hAnsi="Arial" w:cs="Arial"/>
                <w:szCs w:val="22"/>
              </w:rPr>
            </w:pPr>
            <w:r w:rsidRPr="00273055">
              <w:rPr>
                <w:rFonts w:ascii="Arial" w:hAnsi="Arial" w:cs="Arial"/>
                <w:b/>
                <w:bCs/>
                <w:szCs w:val="22"/>
              </w:rPr>
              <w:t>Průběžné hodnocení odpovídá stavu v době škálování</w:t>
            </w:r>
          </w:p>
        </w:tc>
      </w:tr>
      <w:tr w:rsidR="008D3DF2" w:rsidRPr="001F0B21" w14:paraId="001263BE" w14:textId="77777777" w:rsidTr="00232FC0">
        <w:trPr>
          <w:trHeight w:val="265"/>
          <w:jc w:val="center"/>
        </w:trPr>
        <w:tc>
          <w:tcPr>
            <w:tcW w:w="26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EA258C" w14:textId="77777777" w:rsidR="008D3DF2" w:rsidRPr="00DB5CDA" w:rsidRDefault="008D3DF2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160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AF2B06" w14:textId="77777777" w:rsidR="008D3DF2" w:rsidRPr="001F0B21" w:rsidRDefault="008D3DF2" w:rsidP="009B5451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5F18F649" w14:textId="77777777" w:rsidR="008D3DF2" w:rsidRDefault="008D3DF2"/>
    <w:sectPr w:rsidR="008D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4090"/>
    <w:multiLevelType w:val="multilevel"/>
    <w:tmpl w:val="151630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num w:numId="1" w16cid:durableId="1421875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4155F"/>
    <w:rsid w:val="0006032A"/>
    <w:rsid w:val="000779AD"/>
    <w:rsid w:val="00100E71"/>
    <w:rsid w:val="00127B67"/>
    <w:rsid w:val="00232FC0"/>
    <w:rsid w:val="00273055"/>
    <w:rsid w:val="002D55C6"/>
    <w:rsid w:val="003247F0"/>
    <w:rsid w:val="00331A45"/>
    <w:rsid w:val="0034701A"/>
    <w:rsid w:val="00387B8E"/>
    <w:rsid w:val="0041230A"/>
    <w:rsid w:val="004424EA"/>
    <w:rsid w:val="004829A8"/>
    <w:rsid w:val="004C15F7"/>
    <w:rsid w:val="004C4C60"/>
    <w:rsid w:val="005D57E1"/>
    <w:rsid w:val="006700BE"/>
    <w:rsid w:val="00747376"/>
    <w:rsid w:val="00796777"/>
    <w:rsid w:val="007F2720"/>
    <w:rsid w:val="0081610B"/>
    <w:rsid w:val="008C0085"/>
    <w:rsid w:val="008C461F"/>
    <w:rsid w:val="008D3DF2"/>
    <w:rsid w:val="00936696"/>
    <w:rsid w:val="00964CCA"/>
    <w:rsid w:val="009C7D43"/>
    <w:rsid w:val="00BF271E"/>
    <w:rsid w:val="00CB2E83"/>
    <w:rsid w:val="00D332DD"/>
    <w:rsid w:val="00E10BE5"/>
    <w:rsid w:val="00F2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5D57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unhideWhenUsed/>
    <w:rsid w:val="005D57E1"/>
    <w:pPr>
      <w:spacing w:before="100" w:beforeAutospacing="1" w:after="100" w:afterAutospacing="1"/>
    </w:pPr>
    <w:rPr>
      <w:sz w:val="24"/>
      <w:szCs w:val="24"/>
    </w:rPr>
  </w:style>
  <w:style w:type="character" w:customStyle="1" w:styleId="Zkladntext">
    <w:name w:val="Základní text_"/>
    <w:basedOn w:val="Standardnpsmoodstavce"/>
    <w:link w:val="Zkladntext1"/>
    <w:locked/>
    <w:rsid w:val="005D57E1"/>
    <w:rPr>
      <w:rFonts w:ascii="Calibri" w:hAnsi="Calibri" w:cs="Calibri"/>
    </w:rPr>
  </w:style>
  <w:style w:type="paragraph" w:customStyle="1" w:styleId="Zkladntext1">
    <w:name w:val="Základní text1"/>
    <w:basedOn w:val="Normln"/>
    <w:link w:val="Zkladntext"/>
    <w:rsid w:val="005D57E1"/>
    <w:pPr>
      <w:spacing w:after="320" w:line="264" w:lineRule="auto"/>
    </w:pPr>
    <w:rPr>
      <w:rFonts w:ascii="Calibri" w:eastAsiaTheme="minorHAnsi" w:hAnsi="Calibri" w:cs="Calibri"/>
      <w:kern w:val="2"/>
      <w:szCs w:val="22"/>
      <w:lang w:eastAsia="en-US"/>
      <w14:ligatures w14:val="standardContextual"/>
    </w:rPr>
  </w:style>
  <w:style w:type="character" w:customStyle="1" w:styleId="Nadpis3Char">
    <w:name w:val="Nadpis 3 Char"/>
    <w:basedOn w:val="Standardnpsmoodstavce"/>
    <w:link w:val="Nadpis3"/>
    <w:uiPriority w:val="9"/>
    <w:rsid w:val="005D57E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1315</Words>
  <Characters>7763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Office365 deploy</Company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4</cp:revision>
  <dcterms:created xsi:type="dcterms:W3CDTF">2024-12-07T15:30:00Z</dcterms:created>
  <dcterms:modified xsi:type="dcterms:W3CDTF">2025-01-02T10:34:00Z</dcterms:modified>
</cp:coreProperties>
</file>